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06" w:rsidRDefault="00BD0E06" w:rsidP="00BD0E06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D0E06" w:rsidRDefault="00BD0E06" w:rsidP="00BD0E06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D0E06" w:rsidRDefault="00BD0E06" w:rsidP="00BD0E06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BD0E06" w:rsidRDefault="00BD0E06" w:rsidP="00BD0E06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D0E06" w:rsidRDefault="00BD0E06" w:rsidP="00BD0E06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BD0E06" w:rsidRDefault="00447348" w:rsidP="00BD0E06">
      <w:pPr>
        <w:shd w:val="clear" w:color="auto" w:fill="FFFFFF"/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26.01.2026    № 34 -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BD0E06" w:rsidRDefault="00BD0E06" w:rsidP="00BD0E0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Положение </w:t>
      </w:r>
    </w:p>
    <w:p w:rsidR="00BD0E06" w:rsidRDefault="00BD0E06" w:rsidP="00BD0E0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оплате труда работников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дминистрации Усть-Абаканского муниципального района Республики Хакасия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ее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структурных подразделений</w:t>
      </w:r>
      <w:r>
        <w:rPr>
          <w:rFonts w:ascii="Times New Roman" w:hAnsi="Times New Roman" w:cs="Times New Roman"/>
          <w:bCs/>
          <w:sz w:val="28"/>
          <w:szCs w:val="28"/>
        </w:rPr>
        <w:t>, замещающих должности, не являющиеся должностями муниципальной службы</w:t>
      </w:r>
    </w:p>
    <w:p w:rsidR="00BD0E06" w:rsidRDefault="00BD0E06" w:rsidP="00BD0E06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BD0E06" w:rsidRDefault="00BD0E06" w:rsidP="00BD0E0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</w:t>
      </w:r>
      <w:r>
        <w:rPr>
          <w:rFonts w:ascii="Times New Roman" w:hAnsi="Times New Roman" w:cs="Times New Roman"/>
          <w:bCs/>
          <w:sz w:val="28"/>
          <w:szCs w:val="28"/>
        </w:rPr>
        <w:t>Положение об оплате труда работников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                          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Усть-Абаканского муниципального района Республики Хакасия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ее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структурных подразделений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, замещающих должности, не являющиеся должностями муниципальной службы (далее – Положение), </w:t>
      </w:r>
      <w:r>
        <w:rPr>
          <w:rFonts w:ascii="Times New Roman" w:hAnsi="Times New Roman" w:cs="Times New Roman"/>
          <w:sz w:val="28"/>
          <w:szCs w:val="28"/>
        </w:rPr>
        <w:t xml:space="preserve">разработано в соответствии со статьями 135, 144 Трудового </w:t>
      </w:r>
      <w:hyperlink r:id="rId5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регулирует правоотношения в сфере оплаты труда </w:t>
      </w:r>
      <w:r>
        <w:rPr>
          <w:rFonts w:ascii="Times New Roman" w:hAnsi="Times New Roman" w:cs="Times New Roman"/>
          <w:bCs/>
          <w:sz w:val="28"/>
          <w:szCs w:val="28"/>
        </w:rPr>
        <w:t>работников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Усть-Абаканского муниципального района Республики Хакасия (за исключением работников единой дежурно – диспетчерской службы Администрации Усть-Абаканского муниципальногорайона Республики Хакасия), управлений администрации Усть-Абаканского районаРеспублики Хакасия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за исключением работников хозяйственной группы, централизованной бухгалтерии, районного информационного методического кабинета, </w:t>
      </w:r>
      <w:r>
        <w:rPr>
          <w:rFonts w:ascii="Times New Roman" w:hAnsi="Times New Roman" w:cs="Times New Roman"/>
          <w:sz w:val="28"/>
          <w:szCs w:val="28"/>
        </w:rPr>
        <w:t xml:space="preserve">работников службы сопровождения замещающих </w:t>
      </w:r>
      <w:r>
        <w:rPr>
          <w:rFonts w:ascii="Times New Roman" w:hAnsi="Times New Roman" w:cs="Times New Roman"/>
          <w:sz w:val="28"/>
          <w:szCs w:val="28"/>
        </w:rPr>
        <w:lastRenderedPageBreak/>
        <w:t>семей и лиц из числа детей-сирот и детей, оставшихся без попечения родителей и водителя автомобиля отдела опеки и попечительства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Управления образования администрации Усть-Абаканского района Республики Хакасия, хозяйственной группы, централизованной бухгалтерии, методического кабинета Управления культуры, молодежной политики, спорта и туризма администрации Усть-Абаканского района Республики Хакасия) замещающих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должности, не являющиеся должностями муниципальной службы (далее - работники)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E06" w:rsidRDefault="00BD0E06" w:rsidP="00BD0E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Система оплаты труда работников устанавливается коллективным договором,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Республики Хакасия, нормативными правовыми актами Администрации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Абаканского муниципального района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и настоящим Положением</w:t>
      </w:r>
      <w:r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>.</w:t>
      </w:r>
    </w:p>
    <w:p w:rsidR="00BD0E06" w:rsidRDefault="00BD0E06" w:rsidP="00BD0E06">
      <w:pPr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Месячная заработная плата работника, полностью отработавшего за этот период норму рабочего времени и выполнившего </w:t>
      </w:r>
      <w:hyperlink r:id="rId6" w:history="1">
        <w:r>
          <w:rPr>
            <w:rStyle w:val="a6"/>
            <w:rFonts w:ascii="Times New Roman" w:eastAsiaTheme="minorHAnsi" w:hAnsi="Times New Roman" w:cs="Times New Roman"/>
            <w:sz w:val="28"/>
            <w:szCs w:val="28"/>
            <w:lang w:eastAsia="en-US"/>
          </w:rPr>
          <w:t>нормы труда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(трудовые обязанности), не может быть ниже минимального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размера оплаты труда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D0E06" w:rsidRDefault="00BD0E06" w:rsidP="00BD0E06">
      <w:pPr>
        <w:pStyle w:val="31"/>
        <w:spacing w:after="0" w:line="360" w:lineRule="auto"/>
        <w:ind w:firstLine="708"/>
        <w:jc w:val="center"/>
        <w:rPr>
          <w:rFonts w:eastAsiaTheme="minorEastAsia"/>
          <w:sz w:val="28"/>
          <w:szCs w:val="28"/>
          <w:lang w:eastAsia="ru-RU"/>
        </w:rPr>
      </w:pPr>
    </w:p>
    <w:p w:rsidR="00BD0E06" w:rsidRDefault="00BD0E06" w:rsidP="00BD0E06">
      <w:pPr>
        <w:pStyle w:val="31"/>
        <w:spacing w:after="0"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Порядок формирования системы оплаты труда</w:t>
      </w:r>
    </w:p>
    <w:p w:rsidR="00BD0E06" w:rsidRDefault="00BD0E06" w:rsidP="00BD0E0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Система оплаты труда работников включает в себя: 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оклад </w:t>
      </w:r>
      <w:r>
        <w:rPr>
          <w:rFonts w:ascii="Times New Roman" w:hAnsi="Times New Roman" w:cs="Times New Roman"/>
          <w:sz w:val="28"/>
          <w:szCs w:val="28"/>
        </w:rPr>
        <w:t>(должностной оклад)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выплаты компенсационного характера;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выплаты стимулирующего характера.</w:t>
      </w:r>
    </w:p>
    <w:p w:rsidR="00BD0E06" w:rsidRDefault="00BD0E06" w:rsidP="00BD0E06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Оклад (должностной оклад) - фиксированный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 оплаты труда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работника за исполнение трудовых (должностных) обязанностей определенной сложности за календарный месяц без учета компенсационных, стимулирующих и социальных выплат.</w:t>
      </w:r>
      <w:r>
        <w:rPr>
          <w:rFonts w:ascii="Times New Roman" w:hAnsi="Times New Roman" w:cs="Times New Roman"/>
          <w:sz w:val="28"/>
          <w:szCs w:val="28"/>
        </w:rPr>
        <w:t xml:space="preserve"> Размеры окладов (должностных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окладов) работников устанавливаются в соответствии с Приложением к настоящему Положению.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2.3. Оклад (должностной оклад)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водителя автомобиля, осуществляющего перевозку выборного должностного лица местного самоуправления, увеличивается на 15% (при расчете оклад </w:t>
      </w:r>
      <w:r>
        <w:rPr>
          <w:rFonts w:ascii="Times New Roman" w:hAnsi="Times New Roman" w:cs="Times New Roman"/>
          <w:sz w:val="28"/>
          <w:szCs w:val="28"/>
        </w:rPr>
        <w:t>(должностной оклад) округляется до целого числа)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Выплаты компенсационного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стимулирующего</w:t>
      </w:r>
      <w:r>
        <w:rPr>
          <w:rFonts w:ascii="Times New Roman" w:hAnsi="Times New Roman" w:cs="Times New Roman"/>
          <w:sz w:val="28"/>
          <w:szCs w:val="28"/>
        </w:rPr>
        <w:t xml:space="preserve"> характера производятся в соответствии с требованиями разделов 3 и 4 настоящего Положения.</w:t>
      </w:r>
    </w:p>
    <w:p w:rsidR="00BD0E06" w:rsidRDefault="00BD0E06" w:rsidP="00BD0E0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652"/>
      <w:bookmarkEnd w:id="0"/>
    </w:p>
    <w:p w:rsidR="00BD0E06" w:rsidRDefault="00BD0E06" w:rsidP="00BD0E0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Выплаты компенсационного характера</w:t>
      </w:r>
    </w:p>
    <w:p w:rsidR="00BD0E06" w:rsidRDefault="00BD0E06" w:rsidP="00BD0E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 учетом условий труда и норм действующего трудового законодательства работникам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следующие выплаты компенсационного характера:</w:t>
      </w:r>
    </w:p>
    <w:p w:rsidR="00BD0E06" w:rsidRDefault="00BD0E06" w:rsidP="00BD0E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выплата работникам, занятым на работах с вредными и (или) опасными  условиями труда;</w:t>
      </w:r>
    </w:p>
    <w:p w:rsidR="00BD0E06" w:rsidRDefault="00BD0E06" w:rsidP="00BD0E0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выплаты за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</w:p>
    <w:p w:rsidR="00BD0E06" w:rsidRDefault="00BD0E06" w:rsidP="00BD0E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коэффициент и процентная надбавка к заработной плате за стаж работы в Республике Хакасия. Районный коэффициент и процентная надбавка к заработной плате за стаж работы в Республике Хакасия являются обязательными выплатами, начисление которых производится на фактический заработок.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Каждый час работы в ночное время (с 22.00 часов до 6.00 часов) оплачивается в повышенном размере по сравнению с работой в нормальных условиях. Рекомендуемый размер повышения оплаты труда за работу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ночное время  составляет 40 процентов оклада (должностного оклада), рассчитанного за каждый час работы в ночное время.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Конкретные размеры выплат компенсационного характера устанавливаются в соответствии с трудовым законодательством и иными нормативными правовыми актами, содержащими нормы трудового права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D0E06" w:rsidRDefault="00BD0E06" w:rsidP="00BD0E0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682"/>
      <w:bookmarkEnd w:id="1"/>
    </w:p>
    <w:p w:rsidR="00BD0E06" w:rsidRDefault="00BD0E06" w:rsidP="00BD0E0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Выплаты стимулирующего характера</w:t>
      </w:r>
    </w:p>
    <w:p w:rsidR="00BD0E06" w:rsidRDefault="00BD0E06" w:rsidP="00BD0E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Работникам устанавливаются следующие ежемесячные и иные выплаты (надбавки) стимулирующего характера: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надбавка за интенсивность труда и высокое качество работы;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ежемесячная надбавка за выслугу лет;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ежемесячная надбавка за классность;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ежемесячная премия;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материальная помощь.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4.2. Установление выплат стимулирующего характера осуществляется работникам на основании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распоряжения (приказа) </w:t>
      </w:r>
      <w:r>
        <w:rPr>
          <w:rFonts w:ascii="Times New Roman" w:hAnsi="Times New Roman" w:cs="Times New Roman"/>
          <w:sz w:val="28"/>
          <w:szCs w:val="28"/>
        </w:rPr>
        <w:t>работодателя.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4.3. Надбавка за интенсивность труда и высокое качество работы может быть установлена с учетом объема, напряженности и важности выполняемой работы, сроков и качества ее выполнения, а также других факторов.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надбавки за интенсивность труда и высокое качество работы устанавливается в следующих размерах к </w:t>
      </w:r>
      <w:r>
        <w:rPr>
          <w:rFonts w:ascii="Times New Roman" w:hAnsi="Times New Roman" w:cs="Times New Roman"/>
          <w:sz w:val="28"/>
          <w:szCs w:val="28"/>
        </w:rPr>
        <w:t>окладу (должностному окладу) в месяц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tbl>
      <w:tblPr>
        <w:tblW w:w="949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61"/>
        <w:gridCol w:w="2834"/>
      </w:tblGrid>
      <w:tr w:rsidR="00BD0E06" w:rsidTr="00BD0E0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работника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Размер надбавки к окладу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(должностному окладу)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%</w:t>
            </w:r>
          </w:p>
        </w:tc>
      </w:tr>
      <w:tr w:rsidR="00BD0E06" w:rsidTr="00BD0E0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воспитательной работе, специалист по  профилактической работе,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специалист по работе с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социальным медиа в информационно-телекоммуникационной сети «Интернет»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до 25%</w:t>
            </w:r>
          </w:p>
        </w:tc>
      </w:tr>
      <w:tr w:rsidR="00BD0E06" w:rsidTr="00BD0E06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 по распоряжению имуществом 1 категории, инженер по ремонту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35 %</w:t>
            </w:r>
          </w:p>
        </w:tc>
      </w:tr>
      <w:tr w:rsidR="00BD0E06" w:rsidTr="00BD0E06">
        <w:trPr>
          <w:trHeight w:val="36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по землеустройству 1 категории,  специалист по кадрам,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специалист по работе с социальным медиа в информационно-телекоммуникационной сети «Интернет» 2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40 %</w:t>
            </w:r>
          </w:p>
        </w:tc>
      </w:tr>
      <w:tr w:rsidR="00BD0E06" w:rsidTr="00BD0E06">
        <w:trPr>
          <w:trHeight w:val="7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Главный архивист, заведующий архивным отделом, экономист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46 %</w:t>
            </w:r>
          </w:p>
        </w:tc>
      </w:tr>
      <w:tr w:rsidR="00BD0E06" w:rsidTr="00BD0E06">
        <w:trPr>
          <w:trHeight w:val="37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Юрист 1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65%</w:t>
            </w:r>
          </w:p>
        </w:tc>
      </w:tr>
      <w:tr w:rsidR="00BD0E06" w:rsidTr="00BD0E06">
        <w:trPr>
          <w:trHeight w:val="37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Специалист по методике клубной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70%</w:t>
            </w:r>
          </w:p>
        </w:tc>
      </w:tr>
      <w:tr w:rsidR="00BD0E06" w:rsidTr="00BD0E06">
        <w:trPr>
          <w:trHeight w:val="39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Инженер – сметчик 2 категории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90%</w:t>
            </w:r>
          </w:p>
        </w:tc>
      </w:tr>
      <w:tr w:rsidR="00BD0E06" w:rsidTr="00BD0E06">
        <w:trPr>
          <w:trHeight w:val="7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Секретарь - референт,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документовед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делопроизводитель, водитель автомобиля, механик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100%</w:t>
            </w:r>
          </w:p>
        </w:tc>
      </w:tr>
      <w:tr w:rsidR="00BD0E06" w:rsidTr="00BD0E06">
        <w:trPr>
          <w:trHeight w:val="34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Прочие работники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50%</w:t>
            </w:r>
          </w:p>
        </w:tc>
      </w:tr>
    </w:tbl>
    <w:p w:rsidR="00BD0E06" w:rsidRDefault="00BD0E06" w:rsidP="00BD0E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4.4. Ежемесячная надбавка за выслугу лет устанавливается работникам в зависимости от общего количества лет, проработанных в соответствующей должности в организациях любых форм собственности, а также время прохождения военной службы в соответствии с Федеральным </w:t>
      </w:r>
      <w:hyperlink r:id="rId7" w:history="1">
        <w:r>
          <w:rPr>
            <w:rStyle w:val="a6"/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от 27.05.1998 № 76-ФЗ «О статусе военнослужащих» в следующих размерах к </w:t>
      </w:r>
      <w:r>
        <w:rPr>
          <w:rFonts w:ascii="Times New Roman" w:hAnsi="Times New Roman" w:cs="Times New Roman"/>
          <w:sz w:val="28"/>
          <w:szCs w:val="28"/>
        </w:rPr>
        <w:t>окладу (должностному окладу):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 выслуге от 3 до 8 лет – 10 процентов;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 выслуге от 8 до 13 лет – 15 процентов;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 выслуге от 13 до 18 лет – 20 процентов;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при выслуге от 18 до 23 лет – 25 процентов;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 выслуге свыше 23 лет – 30 процентов.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4.5. Ежемесячная надбавка за классность устанавливается водителям автомобиля в следующих размерах к </w:t>
      </w:r>
      <w:r>
        <w:rPr>
          <w:rFonts w:ascii="Times New Roman" w:hAnsi="Times New Roman" w:cs="Times New Roman"/>
          <w:sz w:val="28"/>
          <w:szCs w:val="28"/>
        </w:rPr>
        <w:t>окладу (должностному окладу)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- 25 процентов оклада – водителям 1-го класса;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- 10 процентов оклада – водителям 2-го класса.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4.6. По итогам работы за месяц работникам выплачивается ежемесячная премия с целью поощрения за общие результаты труда.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премировании учитывается успешное и добросовестное исполнение работником его должностных обязанностей в соответствующем периоде.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Размер ежемесячной премии составляет 33,3 процента </w:t>
      </w:r>
      <w:r>
        <w:rPr>
          <w:rFonts w:ascii="Times New Roman" w:hAnsi="Times New Roman" w:cs="Times New Roman"/>
          <w:sz w:val="28"/>
          <w:szCs w:val="28"/>
        </w:rPr>
        <w:t>оклада (должностного оклада)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фактически отработанное время.</w:t>
      </w:r>
    </w:p>
    <w:p w:rsidR="00BD0E06" w:rsidRDefault="00BD0E06" w:rsidP="00BD0E06">
      <w:pPr>
        <w:pStyle w:val="ConsPlusNormal"/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работодателя работники, совершившие в течение месяца нарушение общественного порядка, трудовой и производственной дисциплины, систематически не выполнявшие порученные им задания, допустившие производственные упущения в работе, премируются в пониженном размере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депремируются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полностью.</w:t>
      </w:r>
    </w:p>
    <w:p w:rsidR="00BD0E06" w:rsidRDefault="00BD0E06" w:rsidP="00BD0E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замечания, упущения и претензии к работникам должны иметь письменное подтверждение (приказ, распоряжение, служебная записка и т.д.).</w:t>
      </w:r>
    </w:p>
    <w:p w:rsidR="00BD0E06" w:rsidRDefault="00BD0E06" w:rsidP="00BD0E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работодателя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депремировании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работников или уменьшении размера ежемесячной премии оформляется в виде распоряжения (приказа) с указанием конкретных причин.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4.7. Материальная помощь работникам выплачивается в размере двух </w:t>
      </w:r>
      <w:r>
        <w:rPr>
          <w:rFonts w:ascii="Times New Roman" w:hAnsi="Times New Roman" w:cs="Times New Roman"/>
          <w:sz w:val="28"/>
          <w:szCs w:val="28"/>
        </w:rPr>
        <w:t>окладов (должностных окладов)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год при предоставлении ежегодного оплачиваемого отпуска</w:t>
      </w:r>
      <w:r>
        <w:rPr>
          <w:rFonts w:ascii="Times New Roman" w:hAnsi="Times New Roman" w:cs="Times New Roman"/>
          <w:sz w:val="28"/>
          <w:szCs w:val="28"/>
        </w:rPr>
        <w:t xml:space="preserve"> или стационарным лечением по заявлению работника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разделении очередного отпуска в установленном порядке на части материальная помощь по желанию работника может быть выплачена по </w:t>
      </w:r>
      <w:r>
        <w:rPr>
          <w:rFonts w:ascii="Times New Roman" w:hAnsi="Times New Roman" w:cs="Times New Roman"/>
          <w:sz w:val="28"/>
          <w:szCs w:val="28"/>
        </w:rPr>
        <w:lastRenderedPageBreak/>
        <w:t>одному должностному окладу в любой из периодов ухода в отпуск, о чем указывается в заявлении.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получение материальной помощи возникает у работника по истечении одного года его непрерывной работы в должности. 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размера материальной помощи принимается размер оклада (должностного оклада), установленный на день выплаты материальной помощи.</w:t>
      </w:r>
    </w:p>
    <w:p w:rsidR="00BD0E06" w:rsidRDefault="00BD0E06" w:rsidP="00BD0E0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:rsidR="00BD0E06" w:rsidRDefault="00BD0E06" w:rsidP="00BD0E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Экономия фонда оплаты труда может быть использована на установление работникам выплат единовременного характера в связи: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празднованием Дня местного самоуправления, юбилейными датами со дня образования Усть-Абаканского района; 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 смертью родителей, супругов, детей с подтверждением факта смерти;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достижением возраста для назначения трудовой пенсии по старости;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награждением почетными грамотами и наградами органов государственной власти и местного самоуправления.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5.2. Решение о направлениях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использования экономии фонда оплаты труда работников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принимается работодателем. 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5.3. Конкретный размер единовременных выплат, указанных в пункте 5.1 настоящего Положения, определяется приказом (распоряжением) работодателя и составляет не более одного должностного оклада (по каждому из оснований).</w:t>
      </w:r>
    </w:p>
    <w:p w:rsidR="00BD0E06" w:rsidRDefault="00BD0E06" w:rsidP="00BD0E0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формирования фонда оплаты труда работников</w:t>
      </w:r>
      <w:proofErr w:type="gramEnd"/>
    </w:p>
    <w:p w:rsidR="00BD0E06" w:rsidRDefault="00BD0E06" w:rsidP="00BD0E06">
      <w:pPr>
        <w:pStyle w:val="ConsPlusNormal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Формирование фонда оплаты труда работников осуществляется в пределах объема средств на оплату труда на текущий финансовый год, </w:t>
      </w:r>
      <w:r>
        <w:rPr>
          <w:rFonts w:ascii="Times New Roman" w:hAnsi="Times New Roman" w:cs="Times New Roman"/>
          <w:sz w:val="28"/>
          <w:szCs w:val="28"/>
        </w:rPr>
        <w:lastRenderedPageBreak/>
        <w:t>определенного в бюджете Усть-Абаканского муниципального района Республики Хакасия.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:rsidR="00BD0E06" w:rsidRDefault="00BD0E06" w:rsidP="00BD0E0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района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E4734F" w:rsidRDefault="00E4734F" w:rsidP="00BD0E06">
      <w:pPr>
        <w:pStyle w:val="31"/>
        <w:spacing w:after="0" w:line="360" w:lineRule="auto"/>
        <w:ind w:left="5245"/>
        <w:rPr>
          <w:sz w:val="28"/>
          <w:szCs w:val="28"/>
        </w:rPr>
      </w:pPr>
    </w:p>
    <w:p w:rsidR="00BD0E06" w:rsidRDefault="00BD0E06" w:rsidP="00BD0E06">
      <w:pPr>
        <w:pStyle w:val="31"/>
        <w:spacing w:after="0" w:line="360" w:lineRule="auto"/>
        <w:ind w:left="5245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lastRenderedPageBreak/>
        <w:t xml:space="preserve">Приложение </w:t>
      </w:r>
    </w:p>
    <w:p w:rsidR="00BD0E06" w:rsidRDefault="00BD0E06" w:rsidP="00BD0E06">
      <w:pPr>
        <w:shd w:val="clear" w:color="auto" w:fill="FFFFFF"/>
        <w:spacing w:after="0" w:line="360" w:lineRule="auto"/>
        <w:ind w:left="524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Положению об оплате труда работников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</w:t>
      </w:r>
    </w:p>
    <w:p w:rsidR="00BD0E06" w:rsidRDefault="00BD0E06" w:rsidP="00BD0E06">
      <w:pPr>
        <w:shd w:val="clear" w:color="auto" w:fill="FFFFFF"/>
        <w:spacing w:after="0" w:line="360" w:lineRule="auto"/>
        <w:ind w:left="524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Усть-Абаканского муниципального районаРеспублики Хакасия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ее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структурных подразделений</w:t>
      </w:r>
      <w:r>
        <w:rPr>
          <w:rFonts w:ascii="Times New Roman" w:hAnsi="Times New Roman" w:cs="Times New Roman"/>
          <w:bCs/>
          <w:sz w:val="28"/>
          <w:szCs w:val="28"/>
        </w:rPr>
        <w:t>, замещающих должности, не являющиеся должностями муниципальной службы.</w:t>
      </w: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BD0E06" w:rsidRDefault="00BD0E06" w:rsidP="00BD0E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окладов (должностных окладов) работников</w:t>
      </w: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5"/>
        <w:gridCol w:w="2125"/>
      </w:tblGrid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работника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окладов), руб.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5 910,00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5 910,00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5 910,00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7 152,00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по обслуживанию системы отопления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7 152,00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7 152,00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Делопроизводитель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7 152,00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7 866,00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Секретарь-референт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8 652,00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8 652,00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8 652,00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Инженер – сметчик 2 категории,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специалист по работе с социальным медиа в информационно-телекоммуникационной сети «Интернет» 2 категории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15 628,00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Экономист по финансовой работе 1 категории, юрист 1 категории, эксперт по землеустройству 1 категории, экономист 1 категории, эксперт по распоряжению имуществом 1 категории,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главный архивист, специалист по работе с социальным медиа в информационно-телекоммуникационной сети «Интернет» 1 категории,  инженер по ремонту 1 категории, специалист по воспитательной работе, специалист по профилактической работе, специалист по кадрам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18 150,00</w:t>
            </w:r>
          </w:p>
        </w:tc>
      </w:tr>
      <w:tr w:rsidR="00BD0E06" w:rsidTr="00BD0E0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Заведующий архивным отделом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06" w:rsidRDefault="00BD0E06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21 563,00</w:t>
            </w:r>
          </w:p>
        </w:tc>
      </w:tr>
    </w:tbl>
    <w:p w:rsidR="00BD0E06" w:rsidRDefault="00BD0E06" w:rsidP="00BD0E06">
      <w:pPr>
        <w:pStyle w:val="a7"/>
        <w:spacing w:line="360" w:lineRule="auto"/>
        <w:ind w:left="20" w:right="20" w:firstLine="700"/>
        <w:rPr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BD0E06" w:rsidRDefault="00BD0E06" w:rsidP="00BD0E06">
      <w:pPr>
        <w:shd w:val="clear" w:color="auto" w:fill="FFFFFF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87055B" w:rsidRDefault="0087055B">
      <w:pPr>
        <w:spacing w:after="0" w:line="240" w:lineRule="auto"/>
      </w:pPr>
    </w:p>
    <w:sectPr w:rsidR="0087055B" w:rsidSect="00915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6401"/>
    <w:multiLevelType w:val="hybridMultilevel"/>
    <w:tmpl w:val="72326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F121C"/>
    <w:multiLevelType w:val="hybridMultilevel"/>
    <w:tmpl w:val="BFB0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85095"/>
    <w:multiLevelType w:val="hybridMultilevel"/>
    <w:tmpl w:val="F0E2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B09FD"/>
    <w:multiLevelType w:val="hybridMultilevel"/>
    <w:tmpl w:val="A33A9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E6297"/>
    <w:multiLevelType w:val="hybridMultilevel"/>
    <w:tmpl w:val="7C880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24A17"/>
    <w:multiLevelType w:val="hybridMultilevel"/>
    <w:tmpl w:val="1B60A1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5B6261F"/>
    <w:multiLevelType w:val="hybridMultilevel"/>
    <w:tmpl w:val="EDA8E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B949AF"/>
    <w:multiLevelType w:val="hybridMultilevel"/>
    <w:tmpl w:val="A0043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9642DD"/>
    <w:multiLevelType w:val="hybridMultilevel"/>
    <w:tmpl w:val="E826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56200"/>
    <w:multiLevelType w:val="hybridMultilevel"/>
    <w:tmpl w:val="286AD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C51C0E"/>
    <w:multiLevelType w:val="hybridMultilevel"/>
    <w:tmpl w:val="E4F66E3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693735BE"/>
    <w:multiLevelType w:val="hybridMultilevel"/>
    <w:tmpl w:val="27AAF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CA11FC"/>
    <w:multiLevelType w:val="hybridMultilevel"/>
    <w:tmpl w:val="5016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134562"/>
    <w:multiLevelType w:val="hybridMultilevel"/>
    <w:tmpl w:val="479A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3"/>
  </w:num>
  <w:num w:numId="12">
    <w:abstractNumId w:val="8"/>
  </w:num>
  <w:num w:numId="13">
    <w:abstractNumId w:val="13"/>
  </w:num>
  <w:num w:numId="14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D02ECE"/>
    <w:rsid w:val="00006F72"/>
    <w:rsid w:val="000517BC"/>
    <w:rsid w:val="000C6DE5"/>
    <w:rsid w:val="000D67CE"/>
    <w:rsid w:val="00170B6D"/>
    <w:rsid w:val="001966E2"/>
    <w:rsid w:val="001D3013"/>
    <w:rsid w:val="001E1FD7"/>
    <w:rsid w:val="002114B6"/>
    <w:rsid w:val="00266B5B"/>
    <w:rsid w:val="00294D0E"/>
    <w:rsid w:val="002D0642"/>
    <w:rsid w:val="00361AED"/>
    <w:rsid w:val="003B1D30"/>
    <w:rsid w:val="003B2594"/>
    <w:rsid w:val="003E292B"/>
    <w:rsid w:val="003E2CAF"/>
    <w:rsid w:val="004035CD"/>
    <w:rsid w:val="00447348"/>
    <w:rsid w:val="00483F56"/>
    <w:rsid w:val="005057A3"/>
    <w:rsid w:val="005135F2"/>
    <w:rsid w:val="005340BE"/>
    <w:rsid w:val="005366FA"/>
    <w:rsid w:val="00562A68"/>
    <w:rsid w:val="005937B4"/>
    <w:rsid w:val="00596727"/>
    <w:rsid w:val="005F4385"/>
    <w:rsid w:val="00635F28"/>
    <w:rsid w:val="00662876"/>
    <w:rsid w:val="006819BD"/>
    <w:rsid w:val="00697430"/>
    <w:rsid w:val="00712E4E"/>
    <w:rsid w:val="00721BE6"/>
    <w:rsid w:val="00736830"/>
    <w:rsid w:val="00745A2B"/>
    <w:rsid w:val="007A2A68"/>
    <w:rsid w:val="007A2DC1"/>
    <w:rsid w:val="007B094E"/>
    <w:rsid w:val="007B2901"/>
    <w:rsid w:val="007C28D0"/>
    <w:rsid w:val="007D2569"/>
    <w:rsid w:val="007D5AA6"/>
    <w:rsid w:val="00832904"/>
    <w:rsid w:val="0087055B"/>
    <w:rsid w:val="008A37B0"/>
    <w:rsid w:val="008A3915"/>
    <w:rsid w:val="00945A21"/>
    <w:rsid w:val="009804B7"/>
    <w:rsid w:val="0099002E"/>
    <w:rsid w:val="00991EF6"/>
    <w:rsid w:val="009C66BE"/>
    <w:rsid w:val="009D662B"/>
    <w:rsid w:val="009E3311"/>
    <w:rsid w:val="00A424DE"/>
    <w:rsid w:val="00A458AE"/>
    <w:rsid w:val="00A474DB"/>
    <w:rsid w:val="00A804D5"/>
    <w:rsid w:val="00A81CA4"/>
    <w:rsid w:val="00AB2F28"/>
    <w:rsid w:val="00AD05EA"/>
    <w:rsid w:val="00B10FA5"/>
    <w:rsid w:val="00B14AAA"/>
    <w:rsid w:val="00B24A05"/>
    <w:rsid w:val="00B36FC2"/>
    <w:rsid w:val="00B5135E"/>
    <w:rsid w:val="00B61458"/>
    <w:rsid w:val="00BB0FC0"/>
    <w:rsid w:val="00BB14A6"/>
    <w:rsid w:val="00BD0E06"/>
    <w:rsid w:val="00BD6BF4"/>
    <w:rsid w:val="00BE529D"/>
    <w:rsid w:val="00C42A66"/>
    <w:rsid w:val="00C90B54"/>
    <w:rsid w:val="00CD43F2"/>
    <w:rsid w:val="00CE30F2"/>
    <w:rsid w:val="00D02ECE"/>
    <w:rsid w:val="00D75C4C"/>
    <w:rsid w:val="00D8386F"/>
    <w:rsid w:val="00E12D9B"/>
    <w:rsid w:val="00E24BD2"/>
    <w:rsid w:val="00E362B3"/>
    <w:rsid w:val="00E4657D"/>
    <w:rsid w:val="00E47136"/>
    <w:rsid w:val="00E4734F"/>
    <w:rsid w:val="00E617C1"/>
    <w:rsid w:val="00E62219"/>
    <w:rsid w:val="00E80F98"/>
    <w:rsid w:val="00EA1F09"/>
    <w:rsid w:val="00ED7C9B"/>
    <w:rsid w:val="00F1719E"/>
    <w:rsid w:val="00FB0A04"/>
    <w:rsid w:val="00FC5588"/>
    <w:rsid w:val="00FE2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02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02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2EC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02ECE"/>
    <w:rPr>
      <w:rFonts w:ascii="Tahoma" w:hAnsi="Tahoma" w:cs="Tahoma"/>
      <w:sz w:val="16"/>
      <w:szCs w:val="16"/>
    </w:rPr>
  </w:style>
  <w:style w:type="paragraph" w:customStyle="1" w:styleId="has-text-align-center">
    <w:name w:val="has-text-align-center"/>
    <w:basedOn w:val="a"/>
    <w:rsid w:val="00B2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114B6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7A2A68"/>
    <w:rPr>
      <w:color w:val="0000FF" w:themeColor="hyperlink"/>
      <w:u w:val="single"/>
    </w:rPr>
  </w:style>
  <w:style w:type="paragraph" w:styleId="a7">
    <w:name w:val="Body Text"/>
    <w:basedOn w:val="a"/>
    <w:link w:val="a8"/>
    <w:semiHidden/>
    <w:unhideWhenUsed/>
    <w:rsid w:val="00BD0E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BD0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BD0E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Основной текст (3)"/>
    <w:basedOn w:val="a0"/>
    <w:link w:val="31"/>
    <w:locked/>
    <w:rsid w:val="00BD0E0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D0E06"/>
    <w:pPr>
      <w:shd w:val="clear" w:color="auto" w:fill="FFFFFF"/>
      <w:spacing w:after="540" w:line="295" w:lineRule="exact"/>
    </w:pPr>
    <w:rPr>
      <w:rFonts w:ascii="Times New Roman" w:eastAsiaTheme="minorHAnsi" w:hAnsi="Times New Roman" w:cs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02E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02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02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02E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2EC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02ECE"/>
    <w:rPr>
      <w:rFonts w:ascii="Tahoma" w:hAnsi="Tahoma" w:cs="Tahoma"/>
      <w:sz w:val="16"/>
      <w:szCs w:val="16"/>
    </w:rPr>
  </w:style>
  <w:style w:type="paragraph" w:customStyle="1" w:styleId="has-text-align-center">
    <w:name w:val="has-text-align-center"/>
    <w:basedOn w:val="a"/>
    <w:rsid w:val="00B2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114B6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7A2A68"/>
    <w:rPr>
      <w:color w:val="0000FF" w:themeColor="hyperlink"/>
      <w:u w:val="single"/>
    </w:rPr>
  </w:style>
  <w:style w:type="paragraph" w:styleId="a7">
    <w:name w:val="Body Text"/>
    <w:basedOn w:val="a"/>
    <w:link w:val="a8"/>
    <w:semiHidden/>
    <w:unhideWhenUsed/>
    <w:rsid w:val="00BD0E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BD0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BD0E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Основной текст (3)"/>
    <w:basedOn w:val="a0"/>
    <w:link w:val="31"/>
    <w:locked/>
    <w:rsid w:val="00BD0E0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D0E06"/>
    <w:pPr>
      <w:shd w:val="clear" w:color="auto" w:fill="FFFFFF"/>
      <w:spacing w:after="540" w:line="295" w:lineRule="exact"/>
    </w:pPr>
    <w:rPr>
      <w:rFonts w:ascii="Times New Roman" w:eastAsiaTheme="minorHAnsi" w:hAnsi="Times New Roman" w:cs="Times New Roman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2DE541851AC8DB18FD9100086E83C45542F97E9C174A2B902A94E4517A2365E571E18FFEA6077BC1741F89EB2FE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F69EB6822F5C9747A62745B4F7D8914D055C59356871D704BD0ED3974EFC16B70008A0BDBAF4B13875FF422F3M5B3E" TargetMode="External"/><Relationship Id="rId5" Type="http://schemas.openxmlformats.org/officeDocument/2006/relationships/hyperlink" Target="consultantplus://offline/ref=0975ADCA0339EAAD3D9E65372927405AE5B9736806F2C9F4D6ECB2431AO2FCH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Е.А.</dc:creator>
  <cp:lastModifiedBy>Point-11</cp:lastModifiedBy>
  <cp:revision>5</cp:revision>
  <cp:lastPrinted>2026-01-26T09:14:00Z</cp:lastPrinted>
  <dcterms:created xsi:type="dcterms:W3CDTF">2026-01-19T11:58:00Z</dcterms:created>
  <dcterms:modified xsi:type="dcterms:W3CDTF">2026-01-26T09:14:00Z</dcterms:modified>
</cp:coreProperties>
</file>